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4635" w14:textId="1B96C679" w:rsidR="0060238D" w:rsidRDefault="0060238D" w:rsidP="00C01FC3">
      <w:pPr>
        <w:spacing w:after="0" w:line="240" w:lineRule="auto"/>
        <w:outlineLvl w:val="1"/>
        <w:rPr>
          <w:rFonts w:eastAsia="Times New Roman" w:cstheme="minorHAnsi"/>
          <w:color w:val="3B3B3B"/>
          <w:kern w:val="0"/>
          <w:sz w:val="36"/>
          <w:szCs w:val="36"/>
          <w:lang w:eastAsia="en-IN"/>
          <w14:ligatures w14:val="none"/>
        </w:rPr>
      </w:pPr>
      <w:r>
        <w:rPr>
          <w:noProof/>
        </w:rPr>
        <w:drawing>
          <wp:inline distT="0" distB="0" distL="0" distR="0" wp14:anchorId="5A1F5B5B" wp14:editId="2256BB71">
            <wp:extent cx="2559873" cy="789940"/>
            <wp:effectExtent l="0" t="0" r="0" b="0"/>
            <wp:docPr id="201140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1246" cy="802707"/>
                    </a:xfrm>
                    <a:prstGeom prst="rect">
                      <a:avLst/>
                    </a:prstGeom>
                    <a:noFill/>
                    <a:ln>
                      <a:noFill/>
                    </a:ln>
                  </pic:spPr>
                </pic:pic>
              </a:graphicData>
            </a:graphic>
          </wp:inline>
        </w:drawing>
      </w:r>
    </w:p>
    <w:p w14:paraId="571C69FF" w14:textId="77777777" w:rsidR="0060238D" w:rsidRDefault="0060238D" w:rsidP="00C01FC3">
      <w:pPr>
        <w:spacing w:after="0" w:line="240" w:lineRule="auto"/>
        <w:outlineLvl w:val="1"/>
        <w:rPr>
          <w:rFonts w:eastAsia="Times New Roman" w:cstheme="minorHAnsi"/>
          <w:color w:val="3B3B3B"/>
          <w:kern w:val="0"/>
          <w:sz w:val="36"/>
          <w:szCs w:val="36"/>
          <w:lang w:eastAsia="en-IN"/>
          <w14:ligatures w14:val="none"/>
        </w:rPr>
      </w:pPr>
    </w:p>
    <w:p w14:paraId="45B46871" w14:textId="77777777" w:rsidR="0060238D" w:rsidRDefault="0060238D" w:rsidP="00C01FC3">
      <w:pPr>
        <w:spacing w:after="0" w:line="240" w:lineRule="auto"/>
        <w:outlineLvl w:val="1"/>
        <w:rPr>
          <w:rFonts w:eastAsia="Times New Roman" w:cstheme="minorHAnsi"/>
          <w:color w:val="3B3B3B"/>
          <w:kern w:val="0"/>
          <w:sz w:val="36"/>
          <w:szCs w:val="36"/>
          <w:lang w:eastAsia="en-IN"/>
          <w14:ligatures w14:val="none"/>
        </w:rPr>
      </w:pPr>
    </w:p>
    <w:p w14:paraId="650FC1A2" w14:textId="77777777" w:rsidR="0060238D" w:rsidRDefault="0060238D" w:rsidP="00C01FC3">
      <w:pPr>
        <w:spacing w:after="0" w:line="240" w:lineRule="auto"/>
        <w:outlineLvl w:val="1"/>
        <w:rPr>
          <w:rFonts w:eastAsia="Times New Roman" w:cstheme="minorHAnsi"/>
          <w:color w:val="3B3B3B"/>
          <w:kern w:val="0"/>
          <w:sz w:val="36"/>
          <w:szCs w:val="36"/>
          <w:lang w:eastAsia="en-IN"/>
          <w14:ligatures w14:val="none"/>
        </w:rPr>
      </w:pPr>
    </w:p>
    <w:p w14:paraId="20559C1A" w14:textId="3517972F" w:rsidR="00C01FC3" w:rsidRPr="0060238D" w:rsidRDefault="00C01FC3" w:rsidP="00C01FC3">
      <w:pPr>
        <w:spacing w:after="0" w:line="240" w:lineRule="auto"/>
        <w:outlineLvl w:val="1"/>
        <w:rPr>
          <w:rFonts w:eastAsia="Times New Roman" w:cstheme="minorHAnsi"/>
          <w:color w:val="3B3B3B"/>
          <w:kern w:val="0"/>
          <w:sz w:val="36"/>
          <w:szCs w:val="36"/>
          <w:lang w:eastAsia="en-IN"/>
          <w14:ligatures w14:val="none"/>
        </w:rPr>
      </w:pPr>
      <w:r w:rsidRPr="0060238D">
        <w:rPr>
          <w:rFonts w:eastAsia="Times New Roman" w:cstheme="minorHAnsi"/>
          <w:color w:val="3B3B3B"/>
          <w:kern w:val="0"/>
          <w:sz w:val="36"/>
          <w:szCs w:val="36"/>
          <w:lang w:eastAsia="en-IN"/>
          <w14:ligatures w14:val="none"/>
        </w:rPr>
        <w:t>What is a risk profile?</w:t>
      </w:r>
    </w:p>
    <w:p w14:paraId="0F5254E2" w14:textId="77777777" w:rsidR="00C01FC3" w:rsidRPr="0060238D" w:rsidRDefault="00C01FC3" w:rsidP="00C01FC3">
      <w:pPr>
        <w:spacing w:before="180" w:after="300" w:line="330" w:lineRule="atLeast"/>
        <w:rPr>
          <w:rFonts w:eastAsia="Times New Roman" w:cstheme="minorHAnsi"/>
          <w:color w:val="3B3B3B"/>
          <w:kern w:val="0"/>
          <w:sz w:val="24"/>
          <w:szCs w:val="24"/>
          <w:lang w:eastAsia="en-IN"/>
          <w14:ligatures w14:val="none"/>
        </w:rPr>
      </w:pPr>
      <w:r w:rsidRPr="0060238D">
        <w:rPr>
          <w:rFonts w:eastAsia="Times New Roman" w:cstheme="minorHAnsi"/>
          <w:color w:val="3B3B3B"/>
          <w:kern w:val="0"/>
          <w:sz w:val="24"/>
          <w:szCs w:val="24"/>
          <w:lang w:eastAsia="en-IN"/>
          <w14:ligatures w14:val="none"/>
        </w:rPr>
        <w:t>A risk profile is a comprehensive evaluation of an individual's readiness and ability to take risks when investing. It acts as a guide, helping investors make decisions that align with their comfort level and financial aspirations. Every investor’s risk profile is unique, and it is typically an indication of the following two components:</w:t>
      </w:r>
    </w:p>
    <w:p w14:paraId="648F27DC" w14:textId="77777777" w:rsidR="00C01FC3" w:rsidRPr="0060238D" w:rsidRDefault="00C01FC3" w:rsidP="00C01FC3">
      <w:pPr>
        <w:numPr>
          <w:ilvl w:val="0"/>
          <w:numId w:val="1"/>
        </w:numPr>
        <w:spacing w:before="100" w:beforeAutospacing="1" w:after="100" w:afterAutospacing="1" w:line="330" w:lineRule="atLeast"/>
        <w:rPr>
          <w:rFonts w:eastAsia="Times New Roman" w:cstheme="minorHAnsi"/>
          <w:color w:val="3B3B3B"/>
          <w:kern w:val="0"/>
          <w:sz w:val="24"/>
          <w:szCs w:val="24"/>
          <w:lang w:eastAsia="en-IN"/>
          <w14:ligatures w14:val="none"/>
        </w:rPr>
      </w:pPr>
      <w:r w:rsidRPr="0060238D">
        <w:rPr>
          <w:rFonts w:eastAsia="Times New Roman" w:cstheme="minorHAnsi"/>
          <w:b/>
          <w:bCs/>
          <w:color w:val="3B3B3B"/>
          <w:kern w:val="0"/>
          <w:sz w:val="24"/>
          <w:szCs w:val="24"/>
          <w:lang w:eastAsia="en-IN"/>
          <w14:ligatures w14:val="none"/>
        </w:rPr>
        <w:t>Risk tolerance:</w:t>
      </w:r>
      <w:r w:rsidRPr="0060238D">
        <w:rPr>
          <w:rFonts w:eastAsia="Times New Roman" w:cstheme="minorHAnsi"/>
          <w:color w:val="3B3B3B"/>
          <w:kern w:val="0"/>
          <w:sz w:val="24"/>
          <w:szCs w:val="24"/>
          <w:lang w:eastAsia="en-IN"/>
          <w14:ligatures w14:val="none"/>
        </w:rPr>
        <w:t> This refers to the emotional aspect of investing. How does an investor feel about potential losses? Can they sleep soundly at night knowing the value of their investments may decrease? Risk tolerance is all about the psychological comfort level.</w:t>
      </w:r>
    </w:p>
    <w:p w14:paraId="62F900E1" w14:textId="77777777" w:rsidR="00C01FC3" w:rsidRPr="0060238D" w:rsidRDefault="00C01FC3" w:rsidP="00C01FC3">
      <w:pPr>
        <w:numPr>
          <w:ilvl w:val="0"/>
          <w:numId w:val="1"/>
        </w:numPr>
        <w:spacing w:before="100" w:beforeAutospacing="1" w:after="100" w:afterAutospacing="1" w:line="330" w:lineRule="atLeast"/>
        <w:rPr>
          <w:rFonts w:eastAsia="Times New Roman" w:cstheme="minorHAnsi"/>
          <w:color w:val="3B3B3B"/>
          <w:kern w:val="0"/>
          <w:sz w:val="24"/>
          <w:szCs w:val="24"/>
          <w:lang w:eastAsia="en-IN"/>
          <w14:ligatures w14:val="none"/>
        </w:rPr>
      </w:pPr>
      <w:r w:rsidRPr="0060238D">
        <w:rPr>
          <w:rFonts w:eastAsia="Times New Roman" w:cstheme="minorHAnsi"/>
          <w:b/>
          <w:bCs/>
          <w:color w:val="3B3B3B"/>
          <w:kern w:val="0"/>
          <w:sz w:val="24"/>
          <w:szCs w:val="24"/>
          <w:lang w:eastAsia="en-IN"/>
          <w14:ligatures w14:val="none"/>
        </w:rPr>
        <w:t>Risk capacity:</w:t>
      </w:r>
      <w:r w:rsidRPr="0060238D">
        <w:rPr>
          <w:rFonts w:eastAsia="Times New Roman" w:cstheme="minorHAnsi"/>
          <w:color w:val="3B3B3B"/>
          <w:kern w:val="0"/>
          <w:sz w:val="24"/>
          <w:szCs w:val="24"/>
          <w:lang w:eastAsia="en-IN"/>
          <w14:ligatures w14:val="none"/>
        </w:rPr>
        <w:t> Unlike risk tolerance, which is emotional, risk capacity is financial in nature. It is an assessment of how much risk an investor can afford to take, considering their financial situation and goals. An investor might be willing to take on significant risks, but their limited financial circumstances might not allow for it.</w:t>
      </w:r>
    </w:p>
    <w:p w14:paraId="6DEF1485" w14:textId="77777777" w:rsidR="00C01FC3" w:rsidRPr="0060238D" w:rsidRDefault="00C01FC3" w:rsidP="00C01FC3">
      <w:pPr>
        <w:spacing w:after="0" w:line="240" w:lineRule="auto"/>
        <w:outlineLvl w:val="1"/>
        <w:rPr>
          <w:rFonts w:eastAsia="Times New Roman" w:cstheme="minorHAnsi"/>
          <w:b/>
          <w:bCs/>
          <w:color w:val="3B3B3B"/>
          <w:kern w:val="0"/>
          <w:sz w:val="24"/>
          <w:szCs w:val="24"/>
          <w:lang w:eastAsia="en-IN"/>
          <w14:ligatures w14:val="none"/>
        </w:rPr>
      </w:pPr>
      <w:r w:rsidRPr="0060238D">
        <w:rPr>
          <w:rFonts w:eastAsia="Times New Roman" w:cstheme="minorHAnsi"/>
          <w:b/>
          <w:bCs/>
          <w:color w:val="3B3B3B"/>
          <w:kern w:val="0"/>
          <w:sz w:val="24"/>
          <w:szCs w:val="24"/>
          <w:lang w:eastAsia="en-IN"/>
          <w14:ligatures w14:val="none"/>
        </w:rPr>
        <w:t>Types of risk profiles</w:t>
      </w:r>
    </w:p>
    <w:p w14:paraId="07F32BDB" w14:textId="4305D4D7" w:rsidR="00C01FC3" w:rsidRPr="00D72DF1" w:rsidRDefault="00C01FC3" w:rsidP="00C01FC3">
      <w:pPr>
        <w:spacing w:before="180" w:after="300" w:line="330" w:lineRule="atLeast"/>
        <w:rPr>
          <w:rFonts w:eastAsia="Times New Roman" w:cstheme="minorHAnsi"/>
          <w:color w:val="000000" w:themeColor="text1"/>
          <w:kern w:val="0"/>
          <w:sz w:val="24"/>
          <w:szCs w:val="24"/>
          <w:u w:val="single"/>
          <w:lang w:eastAsia="en-IN"/>
          <w14:ligatures w14:val="none"/>
        </w:rPr>
      </w:pPr>
      <w:r w:rsidRPr="0060238D">
        <w:rPr>
          <w:rFonts w:eastAsia="Times New Roman" w:cstheme="minorHAnsi"/>
          <w:color w:val="3B3B3B"/>
          <w:kern w:val="0"/>
          <w:sz w:val="24"/>
          <w:szCs w:val="24"/>
          <w:lang w:eastAsia="en-IN"/>
          <w14:ligatures w14:val="none"/>
        </w:rPr>
        <w:t xml:space="preserve">Individual investors are broadly categorized into </w:t>
      </w:r>
      <w:r w:rsidRPr="00D72DF1">
        <w:rPr>
          <w:rFonts w:eastAsia="Times New Roman" w:cstheme="minorHAnsi"/>
          <w:color w:val="3B3B3B"/>
          <w:kern w:val="0"/>
          <w:sz w:val="24"/>
          <w:szCs w:val="24"/>
          <w:lang w:eastAsia="en-IN"/>
          <w14:ligatures w14:val="none"/>
        </w:rPr>
        <w:t xml:space="preserve">the </w:t>
      </w:r>
      <w:r w:rsidR="00D72DF1" w:rsidRPr="00D72DF1">
        <w:rPr>
          <w:rFonts w:eastAsia="Times New Roman" w:cstheme="minorHAnsi"/>
          <w:color w:val="3B3B3B"/>
          <w:kern w:val="0"/>
          <w:sz w:val="24"/>
          <w:szCs w:val="24"/>
          <w:lang w:eastAsia="en-IN"/>
          <w14:ligatures w14:val="none"/>
        </w:rPr>
        <w:t xml:space="preserve">five </w:t>
      </w:r>
      <w:hyperlink r:id="rId6" w:history="1">
        <w:r w:rsidRPr="00D72DF1">
          <w:rPr>
            <w:rFonts w:eastAsia="Times New Roman" w:cstheme="minorHAnsi"/>
            <w:color w:val="000000" w:themeColor="text1"/>
            <w:kern w:val="0"/>
            <w:sz w:val="24"/>
            <w:szCs w:val="24"/>
            <w:bdr w:val="none" w:sz="0" w:space="0" w:color="auto" w:frame="1"/>
            <w:lang w:eastAsia="en-IN"/>
            <w14:ligatures w14:val="none"/>
          </w:rPr>
          <w:t>types of risk profiles</w:t>
        </w:r>
      </w:hyperlink>
      <w:r w:rsidRPr="00D72DF1">
        <w:rPr>
          <w:rFonts w:eastAsia="Times New Roman" w:cstheme="minorHAnsi"/>
          <w:color w:val="000000" w:themeColor="text1"/>
          <w:kern w:val="0"/>
          <w:sz w:val="24"/>
          <w:szCs w:val="24"/>
          <w:lang w:eastAsia="en-IN"/>
          <w14:ligatures w14:val="none"/>
        </w:rPr>
        <w:t>:</w:t>
      </w:r>
    </w:p>
    <w:p w14:paraId="16E615A7" w14:textId="77777777" w:rsidR="00C01FC3" w:rsidRPr="0060238D" w:rsidRDefault="00C01FC3" w:rsidP="00C01FC3">
      <w:pPr>
        <w:numPr>
          <w:ilvl w:val="0"/>
          <w:numId w:val="2"/>
        </w:numPr>
        <w:spacing w:before="100" w:beforeAutospacing="1" w:after="100" w:afterAutospacing="1" w:line="330" w:lineRule="atLeast"/>
        <w:rPr>
          <w:rFonts w:eastAsia="Times New Roman" w:cstheme="minorHAnsi"/>
          <w:color w:val="3B3B3B"/>
          <w:kern w:val="0"/>
          <w:sz w:val="24"/>
          <w:szCs w:val="24"/>
          <w:lang w:eastAsia="en-IN"/>
          <w14:ligatures w14:val="none"/>
        </w:rPr>
      </w:pPr>
      <w:r w:rsidRPr="0060238D">
        <w:rPr>
          <w:rFonts w:eastAsia="Times New Roman" w:cstheme="minorHAnsi"/>
          <w:b/>
          <w:bCs/>
          <w:color w:val="3B3B3B"/>
          <w:kern w:val="0"/>
          <w:sz w:val="24"/>
          <w:szCs w:val="24"/>
          <w:lang w:eastAsia="en-IN"/>
          <w14:ligatures w14:val="none"/>
        </w:rPr>
        <w:t>Conservative:</w:t>
      </w:r>
      <w:r w:rsidRPr="0060238D">
        <w:rPr>
          <w:rFonts w:eastAsia="Times New Roman" w:cstheme="minorHAnsi"/>
          <w:color w:val="3B3B3B"/>
          <w:kern w:val="0"/>
          <w:sz w:val="24"/>
          <w:szCs w:val="24"/>
          <w:lang w:eastAsia="en-IN"/>
          <w14:ligatures w14:val="none"/>
        </w:rPr>
        <w:t> Investors with a conservative risk profile prefer relative stability over high returns. They prioritize mitigating the impact on capital and do not tolerate significant fluctuations well. Their portfolios often consist of fixed deposits, government bonds, and other low-risk instruments.</w:t>
      </w:r>
    </w:p>
    <w:p w14:paraId="13D957C6" w14:textId="77777777" w:rsidR="00C01FC3" w:rsidRPr="0060238D" w:rsidRDefault="00C01FC3" w:rsidP="00C01FC3">
      <w:pPr>
        <w:numPr>
          <w:ilvl w:val="0"/>
          <w:numId w:val="2"/>
        </w:numPr>
        <w:spacing w:before="100" w:beforeAutospacing="1" w:after="100" w:afterAutospacing="1" w:line="330" w:lineRule="atLeast"/>
        <w:rPr>
          <w:rFonts w:eastAsia="Times New Roman" w:cstheme="minorHAnsi"/>
          <w:color w:val="3B3B3B"/>
          <w:kern w:val="0"/>
          <w:sz w:val="24"/>
          <w:szCs w:val="24"/>
          <w:lang w:eastAsia="en-IN"/>
          <w14:ligatures w14:val="none"/>
        </w:rPr>
      </w:pPr>
      <w:r w:rsidRPr="0060238D">
        <w:rPr>
          <w:rFonts w:eastAsia="Times New Roman" w:cstheme="minorHAnsi"/>
          <w:b/>
          <w:bCs/>
          <w:color w:val="3B3B3B"/>
          <w:kern w:val="0"/>
          <w:sz w:val="24"/>
          <w:szCs w:val="24"/>
          <w:lang w:eastAsia="en-IN"/>
          <w14:ligatures w14:val="none"/>
        </w:rPr>
        <w:t>Moderate:</w:t>
      </w:r>
      <w:r w:rsidRPr="0060238D">
        <w:rPr>
          <w:rFonts w:eastAsia="Times New Roman" w:cstheme="minorHAnsi"/>
          <w:color w:val="3B3B3B"/>
          <w:kern w:val="0"/>
          <w:sz w:val="24"/>
          <w:szCs w:val="24"/>
          <w:lang w:eastAsia="en-IN"/>
          <w14:ligatures w14:val="none"/>
        </w:rPr>
        <w:t> Falling between conservative and aggressive, moderate investors are willing to take calculated risks for potential returns. Their investment portfolios are a balanced mix of equities and fixed-income instruments, allowing for growth while cushioning against extreme </w:t>
      </w:r>
      <w:hyperlink r:id="rId7" w:history="1">
        <w:r w:rsidRPr="00D72DF1">
          <w:rPr>
            <w:rFonts w:eastAsia="Times New Roman" w:cstheme="minorHAnsi"/>
            <w:color w:val="000000" w:themeColor="text1"/>
            <w:kern w:val="0"/>
            <w:sz w:val="24"/>
            <w:szCs w:val="24"/>
            <w:bdr w:val="none" w:sz="0" w:space="0" w:color="auto" w:frame="1"/>
            <w:lang w:eastAsia="en-IN"/>
            <w14:ligatures w14:val="none"/>
          </w:rPr>
          <w:t>market volatilities</w:t>
        </w:r>
      </w:hyperlink>
      <w:r w:rsidRPr="00D72DF1">
        <w:rPr>
          <w:rFonts w:eastAsia="Times New Roman" w:cstheme="minorHAnsi"/>
          <w:color w:val="000000" w:themeColor="text1"/>
          <w:kern w:val="0"/>
          <w:sz w:val="24"/>
          <w:szCs w:val="24"/>
          <w:lang w:eastAsia="en-IN"/>
          <w14:ligatures w14:val="none"/>
        </w:rPr>
        <w:t>.</w:t>
      </w:r>
    </w:p>
    <w:p w14:paraId="140911F0" w14:textId="77777777" w:rsidR="00C01FC3" w:rsidRPr="0060238D" w:rsidRDefault="00C01FC3" w:rsidP="00C01FC3">
      <w:pPr>
        <w:numPr>
          <w:ilvl w:val="0"/>
          <w:numId w:val="2"/>
        </w:numPr>
        <w:spacing w:before="100" w:beforeAutospacing="1" w:after="100" w:afterAutospacing="1" w:line="330" w:lineRule="atLeast"/>
        <w:rPr>
          <w:rFonts w:eastAsia="Times New Roman" w:cstheme="minorHAnsi"/>
          <w:color w:val="3B3B3B"/>
          <w:kern w:val="0"/>
          <w:sz w:val="24"/>
          <w:szCs w:val="24"/>
          <w:lang w:eastAsia="en-IN"/>
          <w14:ligatures w14:val="none"/>
        </w:rPr>
      </w:pPr>
      <w:r w:rsidRPr="0060238D">
        <w:rPr>
          <w:rFonts w:eastAsia="Times New Roman" w:cstheme="minorHAnsi"/>
          <w:b/>
          <w:bCs/>
          <w:color w:val="3B3B3B"/>
          <w:kern w:val="0"/>
          <w:sz w:val="24"/>
          <w:szCs w:val="24"/>
          <w:lang w:eastAsia="en-IN"/>
          <w14:ligatures w14:val="none"/>
        </w:rPr>
        <w:t>Aggressive:</w:t>
      </w:r>
      <w:r w:rsidRPr="0060238D">
        <w:rPr>
          <w:rFonts w:eastAsia="Times New Roman" w:cstheme="minorHAnsi"/>
          <w:color w:val="3B3B3B"/>
          <w:kern w:val="0"/>
          <w:sz w:val="24"/>
          <w:szCs w:val="24"/>
          <w:lang w:eastAsia="en-IN"/>
          <w14:ligatures w14:val="none"/>
        </w:rPr>
        <w:t> Investors with an aggressive risk profile are high-risk takers. They are in search of good returns and are comfortable with the associated volatility. Such investors have a significant portion of their portfolio in equities, stocks, or high-risk mutual funds. Their primary focus is capital appreciation.</w:t>
      </w:r>
    </w:p>
    <w:p w14:paraId="08561DC7" w14:textId="77777777" w:rsidR="00C01FC3" w:rsidRPr="0060238D" w:rsidRDefault="00C01FC3" w:rsidP="00C01FC3">
      <w:pPr>
        <w:pStyle w:val="Heading3"/>
        <w:numPr>
          <w:ilvl w:val="0"/>
          <w:numId w:val="3"/>
        </w:numPr>
        <w:shd w:val="clear" w:color="auto" w:fill="FFFFFF"/>
        <w:spacing w:before="300" w:after="240" w:line="300" w:lineRule="atLeast"/>
        <w:rPr>
          <w:rFonts w:asciiTheme="minorHAnsi" w:hAnsiTheme="minorHAnsi" w:cstheme="minorHAnsi"/>
          <w:color w:val="233253"/>
        </w:rPr>
      </w:pPr>
      <w:r w:rsidRPr="0060238D">
        <w:rPr>
          <w:rFonts w:asciiTheme="minorHAnsi" w:hAnsiTheme="minorHAnsi" w:cstheme="minorHAnsi"/>
          <w:color w:val="233253"/>
        </w:rPr>
        <w:lastRenderedPageBreak/>
        <w:t>Moderately Conservative</w:t>
      </w:r>
    </w:p>
    <w:p w14:paraId="6AC1052D" w14:textId="77777777" w:rsidR="00C01FC3" w:rsidRPr="0060238D" w:rsidRDefault="00C01FC3" w:rsidP="00C01FC3">
      <w:pPr>
        <w:pStyle w:val="NormalWeb"/>
        <w:shd w:val="clear" w:color="auto" w:fill="FFFFFF"/>
        <w:spacing w:before="0" w:beforeAutospacing="0" w:after="300" w:afterAutospacing="0" w:line="360" w:lineRule="atLeast"/>
        <w:ind w:left="720"/>
        <w:rPr>
          <w:rFonts w:asciiTheme="minorHAnsi" w:hAnsiTheme="minorHAnsi" w:cstheme="minorHAnsi"/>
          <w:color w:val="5A5A5A"/>
        </w:rPr>
      </w:pPr>
      <w:r w:rsidRPr="0060238D">
        <w:rPr>
          <w:rFonts w:asciiTheme="minorHAnsi" w:hAnsiTheme="minorHAnsi" w:cstheme="minorHAnsi"/>
          <w:color w:val="5A5A5A"/>
        </w:rPr>
        <w:t>These investors accept small risks in the hope of securing better returns in the future. They might be okay with equity exposure between 10-30% but rely on debts and other low-risk investment avenues.</w:t>
      </w:r>
    </w:p>
    <w:p w14:paraId="00E0D665" w14:textId="77777777" w:rsidR="00C01FC3" w:rsidRPr="0060238D" w:rsidRDefault="00C01FC3" w:rsidP="00C01FC3">
      <w:pPr>
        <w:pStyle w:val="Heading3"/>
        <w:numPr>
          <w:ilvl w:val="0"/>
          <w:numId w:val="4"/>
        </w:numPr>
        <w:shd w:val="clear" w:color="auto" w:fill="FFFFFF"/>
        <w:spacing w:before="300" w:after="240" w:line="300" w:lineRule="atLeast"/>
        <w:rPr>
          <w:rFonts w:asciiTheme="minorHAnsi" w:hAnsiTheme="minorHAnsi" w:cstheme="minorHAnsi"/>
          <w:color w:val="233253"/>
        </w:rPr>
      </w:pPr>
      <w:r w:rsidRPr="0060238D">
        <w:rPr>
          <w:rFonts w:asciiTheme="minorHAnsi" w:hAnsiTheme="minorHAnsi" w:cstheme="minorHAnsi"/>
          <w:color w:val="233253"/>
        </w:rPr>
        <w:t>Moderately Aggressive</w:t>
      </w:r>
    </w:p>
    <w:p w14:paraId="4C8D7E96" w14:textId="77777777" w:rsidR="00C01FC3" w:rsidRPr="0060238D" w:rsidRDefault="00C01FC3" w:rsidP="00C01FC3">
      <w:pPr>
        <w:pStyle w:val="NormalWeb"/>
        <w:shd w:val="clear" w:color="auto" w:fill="FFFFFF"/>
        <w:spacing w:before="0" w:beforeAutospacing="0" w:after="300" w:afterAutospacing="0" w:line="360" w:lineRule="atLeast"/>
        <w:ind w:left="720"/>
        <w:rPr>
          <w:rFonts w:asciiTheme="minorHAnsi" w:hAnsiTheme="minorHAnsi" w:cstheme="minorHAnsi"/>
          <w:color w:val="5A5A5A"/>
        </w:rPr>
      </w:pPr>
      <w:r w:rsidRPr="0060238D">
        <w:rPr>
          <w:rFonts w:asciiTheme="minorHAnsi" w:hAnsiTheme="minorHAnsi" w:cstheme="minorHAnsi"/>
          <w:color w:val="5A5A5A"/>
        </w:rPr>
        <w:t>These investors are keen to take risks to increase their returns in the future. They will invest predominantly in equities with some debt or low-risk assets.</w:t>
      </w:r>
    </w:p>
    <w:p w14:paraId="00F741A6" w14:textId="77777777" w:rsidR="00001C1D" w:rsidRPr="0060238D" w:rsidRDefault="00001C1D" w:rsidP="00001C1D">
      <w:pPr>
        <w:shd w:val="clear" w:color="auto" w:fill="FFFFFF"/>
        <w:spacing w:before="420" w:after="240" w:line="330" w:lineRule="atLeast"/>
        <w:outlineLvl w:val="1"/>
        <w:rPr>
          <w:rFonts w:eastAsia="Times New Roman" w:cstheme="minorHAnsi"/>
          <w:b/>
          <w:bCs/>
          <w:color w:val="233253"/>
          <w:kern w:val="0"/>
          <w:sz w:val="24"/>
          <w:szCs w:val="24"/>
          <w:lang w:eastAsia="en-IN"/>
          <w14:ligatures w14:val="none"/>
        </w:rPr>
      </w:pPr>
      <w:r w:rsidRPr="0060238D">
        <w:rPr>
          <w:rFonts w:eastAsia="Times New Roman" w:cstheme="minorHAnsi"/>
          <w:b/>
          <w:bCs/>
          <w:color w:val="233253"/>
          <w:kern w:val="0"/>
          <w:sz w:val="24"/>
          <w:szCs w:val="24"/>
          <w:lang w:eastAsia="en-IN"/>
          <w14:ligatures w14:val="none"/>
        </w:rPr>
        <w:t>Importance of Risk Profiling in Financial Planning</w:t>
      </w:r>
    </w:p>
    <w:p w14:paraId="289E1FC6" w14:textId="77777777" w:rsidR="00001C1D" w:rsidRPr="0060238D" w:rsidRDefault="00001C1D" w:rsidP="00001C1D">
      <w:pPr>
        <w:shd w:val="clear" w:color="auto" w:fill="FFFFFF"/>
        <w:spacing w:after="300" w:line="360" w:lineRule="atLeast"/>
        <w:rPr>
          <w:rFonts w:eastAsia="Times New Roman" w:cstheme="minorHAnsi"/>
          <w:color w:val="5A5A5A"/>
          <w:kern w:val="0"/>
          <w:sz w:val="24"/>
          <w:szCs w:val="24"/>
          <w:lang w:eastAsia="en-IN"/>
          <w14:ligatures w14:val="none"/>
        </w:rPr>
      </w:pPr>
      <w:r w:rsidRPr="0060238D">
        <w:rPr>
          <w:rFonts w:eastAsia="Times New Roman" w:cstheme="minorHAnsi"/>
          <w:color w:val="5A5A5A"/>
          <w:kern w:val="0"/>
          <w:sz w:val="24"/>
          <w:szCs w:val="24"/>
          <w:lang w:eastAsia="en-IN"/>
          <w14:ligatures w14:val="none"/>
        </w:rPr>
        <w:t>Your risk profile enables you to determine the ideal investment asset allocation based on your needs. A financial advisor can help you understand your risk profile and might suggest investment avenues based on your profile and financial goals.</w:t>
      </w:r>
    </w:p>
    <w:p w14:paraId="0046843B" w14:textId="77777777" w:rsidR="00C01FC3" w:rsidRPr="0060238D" w:rsidRDefault="00C01FC3" w:rsidP="00001C1D">
      <w:pPr>
        <w:spacing w:before="100" w:beforeAutospacing="1" w:after="100" w:afterAutospacing="1" w:line="330" w:lineRule="atLeast"/>
        <w:ind w:left="720"/>
        <w:rPr>
          <w:rFonts w:eastAsia="Times New Roman" w:cstheme="minorHAnsi"/>
          <w:color w:val="3B3B3B"/>
          <w:kern w:val="0"/>
          <w:sz w:val="24"/>
          <w:szCs w:val="24"/>
          <w:lang w:eastAsia="en-IN"/>
          <w14:ligatures w14:val="none"/>
        </w:rPr>
      </w:pPr>
    </w:p>
    <w:p w14:paraId="1E8D431D" w14:textId="77777777" w:rsidR="00C01FC3" w:rsidRPr="0060238D" w:rsidRDefault="00C01FC3" w:rsidP="00C01FC3">
      <w:pPr>
        <w:spacing w:before="100" w:beforeAutospacing="1" w:after="100" w:afterAutospacing="1" w:line="330" w:lineRule="atLeast"/>
        <w:rPr>
          <w:rFonts w:eastAsia="Times New Roman" w:cstheme="minorHAnsi"/>
          <w:color w:val="3B3B3B"/>
          <w:kern w:val="0"/>
          <w:sz w:val="24"/>
          <w:szCs w:val="24"/>
          <w:lang w:eastAsia="en-IN"/>
          <w14:ligatures w14:val="none"/>
        </w:rPr>
      </w:pPr>
    </w:p>
    <w:p w14:paraId="77189A0F" w14:textId="77777777" w:rsidR="00D64777" w:rsidRPr="0060238D" w:rsidRDefault="00D64777">
      <w:pPr>
        <w:rPr>
          <w:rFonts w:cstheme="minorHAnsi"/>
          <w:sz w:val="24"/>
          <w:szCs w:val="24"/>
        </w:rPr>
      </w:pPr>
    </w:p>
    <w:sectPr w:rsidR="00D64777" w:rsidRPr="00602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A65"/>
    <w:multiLevelType w:val="multilevel"/>
    <w:tmpl w:val="05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7534"/>
    <w:multiLevelType w:val="multilevel"/>
    <w:tmpl w:val="36D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F7874"/>
    <w:multiLevelType w:val="multilevel"/>
    <w:tmpl w:val="959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64988"/>
    <w:multiLevelType w:val="multilevel"/>
    <w:tmpl w:val="567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82935"/>
    <w:multiLevelType w:val="multilevel"/>
    <w:tmpl w:val="0182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26938">
    <w:abstractNumId w:val="0"/>
  </w:num>
  <w:num w:numId="2" w16cid:durableId="2027517762">
    <w:abstractNumId w:val="4"/>
  </w:num>
  <w:num w:numId="3" w16cid:durableId="1277640212">
    <w:abstractNumId w:val="3"/>
  </w:num>
  <w:num w:numId="4" w16cid:durableId="1273518551">
    <w:abstractNumId w:val="2"/>
  </w:num>
  <w:num w:numId="5" w16cid:durableId="158140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C3"/>
    <w:rsid w:val="00001C1D"/>
    <w:rsid w:val="00033F33"/>
    <w:rsid w:val="004310CE"/>
    <w:rsid w:val="0060238D"/>
    <w:rsid w:val="00B07D98"/>
    <w:rsid w:val="00BA0009"/>
    <w:rsid w:val="00C01FC3"/>
    <w:rsid w:val="00CA04C8"/>
    <w:rsid w:val="00D64777"/>
    <w:rsid w:val="00D72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EA15"/>
  <w15:chartTrackingRefBased/>
  <w15:docId w15:val="{3326CF1B-465D-420A-B96E-D2F65DA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1FC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C01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FC3"/>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C01FC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C01FC3"/>
    <w:rPr>
      <w:color w:val="0000FF"/>
      <w:u w:val="single"/>
    </w:rPr>
  </w:style>
  <w:style w:type="character" w:customStyle="1" w:styleId="Heading3Char">
    <w:name w:val="Heading 3 Char"/>
    <w:basedOn w:val="DefaultParagraphFont"/>
    <w:link w:val="Heading3"/>
    <w:uiPriority w:val="9"/>
    <w:semiHidden/>
    <w:rsid w:val="00C01FC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60999">
      <w:bodyDiv w:val="1"/>
      <w:marLeft w:val="0"/>
      <w:marRight w:val="0"/>
      <w:marTop w:val="0"/>
      <w:marBottom w:val="0"/>
      <w:divBdr>
        <w:top w:val="none" w:sz="0" w:space="0" w:color="auto"/>
        <w:left w:val="none" w:sz="0" w:space="0" w:color="auto"/>
        <w:bottom w:val="none" w:sz="0" w:space="0" w:color="auto"/>
        <w:right w:val="none" w:sz="0" w:space="0" w:color="auto"/>
      </w:divBdr>
    </w:div>
    <w:div w:id="1208638473">
      <w:bodyDiv w:val="1"/>
      <w:marLeft w:val="0"/>
      <w:marRight w:val="0"/>
      <w:marTop w:val="0"/>
      <w:marBottom w:val="0"/>
      <w:divBdr>
        <w:top w:val="none" w:sz="0" w:space="0" w:color="auto"/>
        <w:left w:val="none" w:sz="0" w:space="0" w:color="auto"/>
        <w:bottom w:val="none" w:sz="0" w:space="0" w:color="auto"/>
        <w:right w:val="none" w:sz="0" w:space="0" w:color="auto"/>
      </w:divBdr>
    </w:div>
    <w:div w:id="1560360804">
      <w:bodyDiv w:val="1"/>
      <w:marLeft w:val="0"/>
      <w:marRight w:val="0"/>
      <w:marTop w:val="0"/>
      <w:marBottom w:val="0"/>
      <w:divBdr>
        <w:top w:val="none" w:sz="0" w:space="0" w:color="auto"/>
        <w:left w:val="none" w:sz="0" w:space="0" w:color="auto"/>
        <w:bottom w:val="none" w:sz="0" w:space="0" w:color="auto"/>
        <w:right w:val="none" w:sz="0" w:space="0" w:color="auto"/>
      </w:divBdr>
    </w:div>
    <w:div w:id="1701204123">
      <w:bodyDiv w:val="1"/>
      <w:marLeft w:val="0"/>
      <w:marRight w:val="0"/>
      <w:marTop w:val="0"/>
      <w:marBottom w:val="0"/>
      <w:divBdr>
        <w:top w:val="none" w:sz="0" w:space="0" w:color="auto"/>
        <w:left w:val="none" w:sz="0" w:space="0" w:color="auto"/>
        <w:bottom w:val="none" w:sz="0" w:space="0" w:color="auto"/>
        <w:right w:val="none" w:sz="0" w:space="0" w:color="auto"/>
      </w:divBdr>
    </w:div>
    <w:div w:id="20094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jajamc.com/knowledge-centre/articles/understanding-market-risks-in-mutual-fund-inves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jajamc.com/knowledge-centre/articles/understand-the-types-of-risk-profi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Archna Iyer</dc:creator>
  <cp:keywords/>
  <dc:description/>
  <cp:lastModifiedBy>Archna Iyer</cp:lastModifiedBy>
  <cp:revision>5</cp:revision>
  <dcterms:created xsi:type="dcterms:W3CDTF">2024-06-14T07:52:00Z</dcterms:created>
  <dcterms:modified xsi:type="dcterms:W3CDTF">2024-06-20T06:16:00Z</dcterms:modified>
</cp:coreProperties>
</file>